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right"/>
      </w:pPr>
      <w:r w:rsidDel="00000000" w:rsidR="00000000" w:rsidRPr="00000000">
        <w:rPr>
          <w:highlight w:val="none"/>
          <w:u w:val="single"/>
          <w:rtl w:val="0"/>
        </w:rPr>
        <w:t xml:space="preserve">Załącznik nr 3</w:t>
      </w:r>
    </w:p>
    <w:p w:rsidDel="00000000" w:rsidRDefault="00000000" w:rsidR="00000000" w:rsidRPr="00000000" w:rsidP="00000000">
      <w:pPr>
        <w:jc w:val="righ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righ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highlight w:val="none"/>
          <w:rtl w:val="0"/>
        </w:rPr>
        <w:tab/>
        <w:tab/>
        <w:tab/>
        <w:tab/>
        <w:tab/>
        <w:tab/>
        <w:tab/>
        <w:tab/>
        <w:t xml:space="preserve">….................................................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highlight w:val="no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999999"/>
          <w:highlight w:val="none"/>
          <w:rtl w:val="0"/>
        </w:rPr>
        <w:t xml:space="preserve">(nazwa, pieczęć Wykonawcy)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pStyle w:val="Heading1"/>
        <w:jc w:val="center"/>
      </w:pPr>
      <w:r w:rsidDel="00000000" w:rsidR="00000000" w:rsidRPr="00000000">
        <w:rPr>
          <w:highlight w:val="none"/>
          <w:rtl w:val="0"/>
        </w:rPr>
        <w:t xml:space="preserve">Oświadczenie</w:t>
      </w:r>
    </w:p>
    <w:p w:rsidDel="00000000" w:rsidRDefault="00000000" w:rsidR="00000000" w:rsidRPr="00000000" w:rsidP="00000000">
      <w:pPr>
        <w:pStyle w:val="Heading3"/>
        <w:jc w:val="center"/>
      </w:pPr>
      <w:r w:rsidDel="00000000" w:rsidR="00000000" w:rsidRPr="00000000">
        <w:rPr>
          <w:highlight w:val="none"/>
          <w:rtl w:val="0"/>
        </w:rPr>
        <w:t xml:space="preserve">o spełnianiu warunków art. 22 ust. 1 i art. 24 ust. 1 i 2 ustawy z 29 stycznia 2004 r. - Prawo zamówień publicznych.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Przystępując do postępowania w sprawie udzielenia zamówienia publicznego na: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b w:val="1"/>
          <w:highlight w:val="none"/>
          <w:rtl w:val="0"/>
        </w:rPr>
        <w:t xml:space="preserve">Dostawa komputerów (jednostek centralnych) oraz oprogramowania dla potrzeb projektu “Internet szansą na rozwój - eInclusion w Gminie Brojce”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Ja (my) imię i nazwisko ….........................................................................................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zamieszkały …...........................................................................................................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reprezentując firmę (nazwa firmy) ….........................................................................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jako upoważniony na piśmie lub wpisany w rejestrze …...........................................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w imieniu reprezentowanej przeze mnie firmy oświadczam, że: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  <w:jc w:val="both"/>
      </w:pPr>
      <w:r w:rsidDel="00000000" w:rsidR="00000000" w:rsidRPr="00000000">
        <w:rPr>
          <w:highlight w:val="none"/>
          <w:rtl w:val="0"/>
        </w:rPr>
        <w:t xml:space="preserve">posiadamy uprawnienia do wykonywania określonej działalności lub czynności, jeżeli ustawy nakładają obowiązek ich posiadania (art. 22 ust. 1 pkt 1 ustawy Prawo zamówień publicznych),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  <w:jc w:val="both"/>
      </w:pPr>
      <w:r w:rsidDel="00000000" w:rsidR="00000000" w:rsidRPr="00000000">
        <w:rPr>
          <w:highlight w:val="none"/>
          <w:rtl w:val="0"/>
        </w:rPr>
        <w:t xml:space="preserve">posiadamy niezbędną wiedzę i doświadczenie (art. 22 ust. 1 pkt 2 ustawy Prawo zamówień publicznych),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  <w:jc w:val="both"/>
      </w:pPr>
      <w:r w:rsidDel="00000000" w:rsidR="00000000" w:rsidRPr="00000000">
        <w:rPr>
          <w:highlight w:val="none"/>
          <w:rtl w:val="0"/>
        </w:rPr>
        <w:t xml:space="preserve">dysponujemy potencjałem technicznym i osobami zdolnymi do wykonania zamówienia (art. 22 ust. 1 pkt 3 ustawy Prawo zamówień publicznych)</w:t>
      </w:r>
    </w:p>
    <w:p w:rsidDel="00000000" w:rsidRDefault="00000000" w:rsidR="00000000" w:rsidRPr="00000000" w:rsidP="00000000">
      <w:pPr>
        <w:numPr>
          <w:ilvl w:val="0"/>
          <w:numId w:val="1"/>
        </w:numPr>
        <w:spacing w:line="276" w:after="0" w:lineRule="auto" w:before="0"/>
        <w:ind w:hanging="360" w:left="720" w:right="0"/>
        <w:jc w:val="both"/>
      </w:pPr>
      <w:r w:rsidDel="00000000" w:rsidR="00000000" w:rsidRPr="00000000">
        <w:rPr>
          <w:highlight w:val="none"/>
          <w:rtl w:val="0"/>
        </w:rPr>
        <w:t xml:space="preserve">znajdujemy się w sytuacji ekonomicznej i finansowej zapewniającej wykonanie zamówienia (art. 22 ust. 1 pkt 4 ustawy Prawo zamówień publicznych)</w:t>
      </w:r>
    </w:p>
    <w:p w:rsidDel="00000000" w:rsidRDefault="00000000" w:rsidR="00000000" w:rsidRPr="00000000" w:rsidP="00000000">
      <w:pPr>
        <w:numPr>
          <w:ilvl w:val="0"/>
          <w:numId w:val="1"/>
        </w:numPr>
        <w:spacing w:line="276" w:after="0" w:lineRule="auto" w:before="0"/>
        <w:ind w:hanging="360" w:left="720" w:right="0"/>
        <w:jc w:val="both"/>
      </w:pPr>
      <w:r w:rsidDel="00000000" w:rsidR="00000000" w:rsidRPr="00000000">
        <w:rPr>
          <w:highlight w:val="none"/>
          <w:rtl w:val="0"/>
        </w:rPr>
        <w:t xml:space="preserve">nie podlegamy wykluczeniu z postępowania o udzielenie zamówienia (art. 24 ust. 1 i 2 ustawy Prawo zamówień publicznych), co oznacza, że: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nie wyrządziliśmy szkody, nie wykonując zamówienia lub wykonując je nienależycie, jeżeli szkoda ta została stwierdzona orzeczeniem sądu, które uprawomocniło się w okresie 3 lat przed wszczęciem postępowania (art. 24 ust. 1 pkt 1 ustawy Prawo zamówień publicznych),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w stosunku do firm nie otwarto likwidacji, ani też nie ogłoszono upadłości - nie dotyczy Wykonawców, którzy po ogłoszeniu upadłości zawarli układ zatwierdzony prawomocnym postanowieniem sądu, jeżeli układ nie przewiduje zaspokojenia wierzycieli przez likwidację majątku upadłego (art. 24 ust. 1 pkt 2 ustawy Prawo zamówień publicznych),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firma nie zalega z uiszczaniem żadnych podatków, opłat lub składek na ubezpieczenia społeczne lub zdrowotne (art. 24 ust. 1 pkt 3 ustawy Prawo zamówień publicznych)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żaden z urzędujących członków władz lub właścicieli firmy nie był prawomocnie skazany za przestępstwo popełnione w związku z postępowaniem o udzielenie zamówienia, przestępstwo przekupstwa, przestępstwo przeciwko obrotowi gospodarczemu lub inne przestępstwo popełnione w celu osiągnięcia korzyści majątkowych (art. 24 ust. 1 pkt 4-8 ustawy Prawo zamówień publicznych),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nie jesteśmy firmą, wobec której sąd orzekł zakaz ubiegania się o zamówienia, na podstawie przepisów o odpowiedzialności podmiotów zbiorowych za czyny zabronione pod groźbą kary (art. 24 ust. 1 pkt 9 ustawy Prawo zamówień publicznych),</w:t>
      </w:r>
    </w:p>
    <w:p w:rsidDel="00000000" w:rsidRDefault="00000000" w:rsidR="00000000" w:rsidRPr="00000000" w:rsidP="00000000">
      <w:pPr>
        <w:numPr>
          <w:ilvl w:val="1"/>
          <w:numId w:val="1"/>
        </w:numPr>
        <w:spacing w:line="276" w:after="0" w:lineRule="auto" w:before="0"/>
        <w:ind w:hanging="360" w:left="1440" w:right="0"/>
        <w:jc w:val="both"/>
      </w:pPr>
      <w:r w:rsidDel="00000000" w:rsidR="00000000" w:rsidRPr="00000000">
        <w:rPr>
          <w:highlight w:val="none"/>
          <w:rtl w:val="0"/>
        </w:rPr>
        <w:t xml:space="preserve">nie wykonywaliśmy czynności związanych z przygotowaniem prowadzonego postępowania oraz nie posługiwaliśmy się w celu sporządzenia oferty osobami uczestniczącymi w dokonywaniu tych czynności (art. 24 ust. 2 pkt 1 ustawy Prawo zamówień publicznych).</w:t>
      </w:r>
    </w:p>
    <w:p w:rsidDel="00000000" w:rsidRDefault="00000000" w:rsidR="00000000" w:rsidRPr="00000000" w:rsidP="00000000">
      <w:pPr>
        <w:numPr>
          <w:ilvl w:val="0"/>
          <w:numId w:val="1"/>
        </w:numPr>
        <w:spacing w:line="276" w:after="0" w:lineRule="auto" w:before="0"/>
        <w:ind w:hanging="360" w:left="720" w:right="0"/>
        <w:jc w:val="both"/>
      </w:pPr>
      <w:r w:rsidDel="00000000" w:rsidR="00000000" w:rsidRPr="00000000">
        <w:rPr>
          <w:highlight w:val="none"/>
          <w:rtl w:val="0"/>
        </w:rPr>
        <w:t xml:space="preserve">na każde wezwanie Zamawiającego dostarczymy niezwłocznie odpowiednie dokumenty potwierdzające prawdziwość każdej kwestii zawartej w oświadczeniu.</w:t>
      </w:r>
    </w:p>
    <w:p w:rsidDel="00000000" w:rsidRDefault="00000000" w:rsidR="00000000" w:rsidRPr="00000000" w:rsidP="00000000">
      <w:pPr>
        <w:numPr>
          <w:ilvl w:val="0"/>
          <w:numId w:val="1"/>
        </w:numPr>
        <w:spacing w:line="276" w:after="0" w:lineRule="auto" w:before="0"/>
        <w:ind w:hanging="360" w:left="720" w:right="0"/>
        <w:jc w:val="both"/>
      </w:pPr>
      <w:r w:rsidDel="00000000" w:rsidR="00000000" w:rsidRPr="00000000">
        <w:rPr>
          <w:highlight w:val="none"/>
          <w:rtl w:val="0"/>
        </w:rPr>
        <w:t xml:space="preserve">zapoznaliśmy się ze wszystkimi warunkami zamówienia, specyfikacją istotnych warunków zamówienia oraz załącznikami do SIWZ (a w tym z projektem umowy) i akceptujemy je bez żadnych zastrzeżeń.</w:t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tbl>
      <w:tblPr>
        <w:tblW w:w="9360.0" w:type="dxa"/>
        <w:tblBorders>
          <w:top w:space="0" w:sz="8" w:color="ffffff" w:val="single"/>
          <w:left w:space="0" w:sz="8" w:color="ffffff" w:val="single"/>
          <w:bottom w:space="0" w:sz="8" w:color="ffffff" w:val="single"/>
          <w:right w:space="0" w:sz="8" w:color="ffffff" w:val="single"/>
          <w:insideH w:space="0" w:sz="8" w:color="ffffff" w:val="single"/>
          <w:insideV w:space="0" w:sz="8" w:color="ffffff" w:val="single"/>
        </w:tblBorders>
        <w:tblLayout w:type="fixed"/>
      </w:tblPr>
      <w:tblGrid/>
      <w:tr>
        <w:tc>
          <w:tcPr/>
          <w:p w:rsidDel="00000000" w:rsidRDefault="00000000" w:rsidR="00000000" w:rsidRPr="00000000" w:rsidP="00000000">
            <w:pPr>
              <w:spacing w:line="240" w:after="0" w:lineRule="auto" w:before="0"/>
              <w:ind w:right="0"/>
              <w:jc w:val="center"/>
            </w:pPr>
            <w:r w:rsidDel="00000000" w:rsidR="00000000" w:rsidRPr="00000000">
              <w:rPr>
                <w:highlight w:val="none"/>
                <w:rtl w:val="0"/>
              </w:rPr>
              <w:t xml:space="preserve">…......................................................</w:t>
            </w:r>
          </w:p>
        </w:tc>
        <w:tc>
          <w:tcPr/>
          <w:p w:rsidDel="00000000" w:rsidRDefault="00000000" w:rsidR="00000000" w:rsidRPr="00000000" w:rsidP="00000000">
            <w:pPr>
              <w:spacing w:line="240" w:after="0" w:lineRule="auto" w:before="0"/>
              <w:ind w:right="0"/>
              <w:jc w:val="center"/>
            </w:pPr>
            <w:r w:rsidDel="00000000" w:rsidR="00000000" w:rsidRPr="00000000">
              <w:rPr>
                <w:highlight w:val="none"/>
                <w:rtl w:val="0"/>
              </w:rPr>
              <w:t xml:space="preserve">…......................................................</w:t>
            </w:r>
          </w:p>
        </w:tc>
      </w:tr>
      <w:tr>
        <w:tc>
          <w:tcPr/>
          <w:p w:rsidDel="00000000" w:rsidRDefault="00000000" w:rsidR="00000000" w:rsidRPr="00000000" w:rsidP="00000000">
            <w:pPr>
              <w:spacing w:line="240" w:after="0" w:lineRule="auto" w:before="0"/>
              <w:ind w:right="0"/>
              <w:jc w:val="center"/>
            </w:pPr>
            <w:r w:rsidDel="00000000" w:rsidR="00000000" w:rsidRPr="00000000">
              <w:rPr>
                <w:i w:val="1"/>
                <w:color w:val="999999"/>
                <w:highlight w:val="none"/>
                <w:rtl w:val="0"/>
              </w:rPr>
              <w:t xml:space="preserve">(miejscowość, data)</w:t>
            </w:r>
          </w:p>
        </w:tc>
        <w:tc>
          <w:tcPr/>
          <w:p w:rsidDel="00000000" w:rsidRDefault="00000000" w:rsidR="00000000" w:rsidRPr="00000000" w:rsidP="00000000">
            <w:pPr>
              <w:spacing w:line="240" w:after="0" w:lineRule="auto" w:before="0"/>
              <w:ind w:right="0"/>
              <w:jc w:val="center"/>
            </w:pPr>
            <w:r w:rsidDel="00000000" w:rsidR="00000000" w:rsidRPr="00000000">
              <w:rPr>
                <w:i w:val="1"/>
                <w:color w:val="999999"/>
                <w:highlight w:val="none"/>
                <w:rtl w:val="0"/>
              </w:rPr>
              <w:t xml:space="preserve">(Wykonawca lub upełnomocniony przedstawiciel Wykonawcy)</w:t>
            </w:r>
          </w:p>
        </w:tc>
      </w:tr>
    </w:tbl>
    <w:p w:rsidDel="00000000" w:rsidRDefault="00000000" w:rsidR="00000000" w:rsidRPr="00000000" w:rsidP="00000000">
      <w:pPr>
        <w:spacing w:line="276" w:after="0" w:lineRule="auto" w:before="0"/>
        <w:ind w:right="0"/>
        <w:jc w:val="both"/>
      </w:pPr>
      <w:r w:rsidDel="00000000" w:rsidR="00000000" w:rsidRPr="00000000">
        <w:rPr>
          <w:rtl w:val="0"/>
        </w:rPr>
      </w:r>
    </w:p>
    <w:sectPr>
      <w:footerReference w:type="default" r:id="rId5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spacing w:line="276" w:after="200" w:lineRule="auto" w:before="0"/>
      <w:ind w:firstLine="0" w:left="0" w:right="0"/>
      <w:jc w:val="right"/>
    </w:pPr>
    <w:fldSimple w:instr="PAGE" w:dirty="0" w:fldLock="0">
      <w:r w:rsidDel="00000000" w:rsidR="00000000" w:rsidRPr="00000000">
        <w:rPr>
          <w:highlight w:val="no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Załącznik nr 3.docx</dc:title>
</cp:coreProperties>
</file>